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Default="00D5547E" w:rsidP="004A6D2F"/>
    <w:p w:rsidR="00894E80" w:rsidRPr="009E51FC" w:rsidRDefault="00894E80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C2D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Housing Panel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A72FD5" w:rsidP="005D0621">
            <w:pPr>
              <w:rPr>
                <w:b/>
              </w:rPr>
            </w:pPr>
            <w:r>
              <w:rPr>
                <w:rStyle w:val="Firstpagetablebold"/>
              </w:rPr>
              <w:t>5</w:t>
            </w:r>
            <w:r w:rsidRPr="00A72FD5">
              <w:rPr>
                <w:rStyle w:val="Firstpagetablebold"/>
                <w:vertAlign w:val="superscript"/>
              </w:rPr>
              <w:t>th</w:t>
            </w:r>
            <w:r>
              <w:rPr>
                <w:rStyle w:val="Firstpagetablebold"/>
              </w:rPr>
              <w:t xml:space="preserve"> July 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8A3F70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Housing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F44C2D" w:rsidP="008A3F7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Garage Asset Management Strategy 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9D27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47E" w:rsidRDefault="00745BF0" w:rsidP="009D2744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9D2744">
        <w:trPr>
          <w:trHeight w:val="1128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hideMark/>
          </w:tcPr>
          <w:p w:rsidR="00D5547E" w:rsidRPr="008A3F70" w:rsidRDefault="00D5547E" w:rsidP="008A3F70">
            <w:pPr>
              <w:rPr>
                <w:rStyle w:val="Firstpagetablebold"/>
              </w:rPr>
            </w:pPr>
            <w:r w:rsidRPr="008A3F70">
              <w:rPr>
                <w:rStyle w:val="Firstpagetablebold"/>
              </w:rPr>
              <w:t>Purpose of report:</w:t>
            </w:r>
          </w:p>
          <w:p w:rsidR="00471319" w:rsidRPr="008A3F70" w:rsidRDefault="00471319" w:rsidP="008A3F70">
            <w:pPr>
              <w:rPr>
                <w:rStyle w:val="Firstpagetablebold"/>
              </w:rPr>
            </w:pPr>
          </w:p>
          <w:p w:rsidR="008A3F70" w:rsidRPr="008A3F70" w:rsidRDefault="008A3F70" w:rsidP="008A3F70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hideMark/>
          </w:tcPr>
          <w:p w:rsidR="008A3F70" w:rsidRPr="008A3F70" w:rsidRDefault="00F44C2D" w:rsidP="008A3F70">
            <w:r w:rsidRPr="008A3F70">
              <w:t xml:space="preserve">To </w:t>
            </w:r>
            <w:r w:rsidR="00A72FD5">
              <w:t>provide members with an update</w:t>
            </w:r>
            <w:r w:rsidR="008A3F70" w:rsidRPr="008A3F70">
              <w:t xml:space="preserve"> of the activit</w:t>
            </w:r>
            <w:r w:rsidR="00A72FD5">
              <w:t>i</w:t>
            </w:r>
            <w:r w:rsidR="008A3F70" w:rsidRPr="008A3F70">
              <w:t>es being carried out under the Garage Asset Management Strategy</w:t>
            </w:r>
          </w:p>
        </w:tc>
      </w:tr>
      <w:tr w:rsidR="008A3F70" w:rsidTr="009D2744">
        <w:trPr>
          <w:trHeight w:val="848"/>
        </w:trPr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A3F70" w:rsidRPr="008A3F70" w:rsidRDefault="008A3F70" w:rsidP="008A3F70">
            <w:pPr>
              <w:rPr>
                <w:rStyle w:val="Firstpagetablebold"/>
              </w:rPr>
            </w:pPr>
            <w:r w:rsidRPr="008A3F70">
              <w:rPr>
                <w:rStyle w:val="Firstpagetablebold"/>
              </w:rPr>
              <w:t>Key Decision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A3F70" w:rsidRPr="008A3F70" w:rsidRDefault="008A3F70" w:rsidP="008A3F70">
            <w:r w:rsidRPr="008A3F70">
              <w:t>No</w:t>
            </w:r>
          </w:p>
        </w:tc>
      </w:tr>
      <w:tr w:rsidR="008A3F70" w:rsidTr="009D2744">
        <w:trPr>
          <w:trHeight w:val="800"/>
        </w:trPr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8A3F70" w:rsidRPr="008A3F70" w:rsidRDefault="008A3F70" w:rsidP="008A3F70">
            <w:pPr>
              <w:rPr>
                <w:rStyle w:val="Firstpagetablebold"/>
              </w:rPr>
            </w:pPr>
            <w:r w:rsidRPr="008A3F70">
              <w:rPr>
                <w:rStyle w:val="Firstpagetablebold"/>
              </w:rPr>
              <w:t>Executive Lead Member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A3F70" w:rsidRPr="008A3F70" w:rsidRDefault="008A3F70" w:rsidP="008A3F70">
            <w:r w:rsidRPr="008A3F70">
              <w:t>Councillor Mike Rowley, Board Member for Housing</w:t>
            </w:r>
          </w:p>
        </w:tc>
      </w:tr>
      <w:tr w:rsidR="00471319" w:rsidTr="009D2744">
        <w:trPr>
          <w:trHeight w:val="531"/>
        </w:trPr>
        <w:tc>
          <w:tcPr>
            <w:tcW w:w="3261" w:type="dxa"/>
            <w:gridSpan w:val="2"/>
            <w:tcBorders>
              <w:left w:val="single" w:sz="4" w:space="0" w:color="auto"/>
            </w:tcBorders>
          </w:tcPr>
          <w:p w:rsidR="00471319" w:rsidRDefault="00471319" w:rsidP="008A3F7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57F03" w:rsidRDefault="008A3F70" w:rsidP="008A3F70">
            <w:r>
              <w:t>An effective and Efficient Council</w:t>
            </w:r>
          </w:p>
          <w:p w:rsidR="008A3F70" w:rsidRPr="001356F1" w:rsidRDefault="008A3F70" w:rsidP="008A3F70"/>
        </w:tc>
      </w:tr>
      <w:tr w:rsidR="00D57F03" w:rsidTr="009D2744">
        <w:trPr>
          <w:trHeight w:val="53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7F03" w:rsidRDefault="00DC0178" w:rsidP="008A3F70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Report Author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D57F03" w:rsidRDefault="00DC0178" w:rsidP="008A3F70">
            <w:r>
              <w:t>Ann Phillips, Tenancy Management Manager</w:t>
            </w:r>
          </w:p>
        </w:tc>
      </w:tr>
      <w:tr w:rsidR="005F7F7E" w:rsidRPr="00975B07" w:rsidTr="009D2744">
        <w:trPr>
          <w:trHeight w:val="413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8A3F70" w:rsidRDefault="008A3F70" w:rsidP="008A3F70">
            <w:pPr>
              <w:rPr>
                <w:rStyle w:val="Firstpagetablebold"/>
              </w:rPr>
            </w:pPr>
          </w:p>
          <w:p w:rsidR="005F7F7E" w:rsidRPr="00975B07" w:rsidRDefault="005F7F7E" w:rsidP="008A3F70">
            <w:r>
              <w:rPr>
                <w:rStyle w:val="Firstpagetablebold"/>
              </w:rPr>
              <w:t>Recommendation(s):</w:t>
            </w:r>
          </w:p>
        </w:tc>
      </w:tr>
      <w:tr w:rsidR="0030208D" w:rsidRPr="00975B07" w:rsidTr="009D2744">
        <w:trPr>
          <w:trHeight w:val="64"/>
        </w:trPr>
        <w:tc>
          <w:tcPr>
            <w:tcW w:w="426" w:type="dxa"/>
          </w:tcPr>
          <w:p w:rsidR="0030208D" w:rsidRPr="00975B07" w:rsidRDefault="00046D2B" w:rsidP="008A3F70">
            <w:r w:rsidRPr="00975B07">
              <w:t>1.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30208D" w:rsidRPr="001356F1" w:rsidRDefault="00381FED" w:rsidP="008A3F70">
            <w:r>
              <w:rPr>
                <w:rStyle w:val="Firstpagetablebold"/>
              </w:rPr>
              <w:t>The Housing Panel is asked to note the contents of this report</w:t>
            </w:r>
          </w:p>
        </w:tc>
      </w:tr>
      <w:tr w:rsidR="00232F5B" w:rsidRPr="00975B07" w:rsidTr="009D2744">
        <w:trPr>
          <w:trHeight w:val="84"/>
        </w:trPr>
        <w:tc>
          <w:tcPr>
            <w:tcW w:w="426" w:type="dxa"/>
          </w:tcPr>
          <w:p w:rsidR="0030208D" w:rsidRPr="00975B07" w:rsidRDefault="0030208D" w:rsidP="008A3F70"/>
        </w:tc>
        <w:tc>
          <w:tcPr>
            <w:tcW w:w="8930" w:type="dxa"/>
            <w:gridSpan w:val="2"/>
            <w:shd w:val="clear" w:color="auto" w:fill="auto"/>
          </w:tcPr>
          <w:p w:rsidR="0030208D" w:rsidRPr="001356F1" w:rsidRDefault="0030208D" w:rsidP="008A3F70"/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C44BAE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44BAE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43054B" w:rsidRDefault="0043054B" w:rsidP="004A6D2F"/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3054B" w:rsidRDefault="0043054B" w:rsidP="004A6D2F"/>
          <w:p w:rsidR="00ED5860" w:rsidRPr="001356F1" w:rsidRDefault="00C80DF3" w:rsidP="004A6D2F">
            <w:r>
              <w:t>Garages by ward</w:t>
            </w:r>
          </w:p>
        </w:tc>
      </w:tr>
      <w:tr w:rsidR="00ED5860" w:rsidRPr="00975B07" w:rsidTr="00C44BAE"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ED5860" w:rsidRPr="001356F1" w:rsidRDefault="0043054B" w:rsidP="004A6D2F">
            <w:r>
              <w:t>Garage data by block</w:t>
            </w:r>
          </w:p>
        </w:tc>
      </w:tr>
      <w:tr w:rsidR="0030208D" w:rsidRPr="00975B07" w:rsidTr="00C44BAE">
        <w:tc>
          <w:tcPr>
            <w:tcW w:w="24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0208D" w:rsidRPr="00975B07" w:rsidRDefault="0030208D" w:rsidP="004A6D2F"/>
        </w:tc>
        <w:tc>
          <w:tcPr>
            <w:tcW w:w="6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208D" w:rsidRPr="001356F1" w:rsidRDefault="0030208D" w:rsidP="004A6D2F"/>
        </w:tc>
      </w:tr>
    </w:tbl>
    <w:p w:rsidR="00C44BAE" w:rsidRDefault="00C44BAE" w:rsidP="004A6D2F">
      <w:pPr>
        <w:pStyle w:val="Heading1"/>
      </w:pPr>
    </w:p>
    <w:p w:rsidR="00A72FD5" w:rsidRDefault="00A72FD5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lastRenderedPageBreak/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7C6FCE" w:rsidRDefault="00CA2F07" w:rsidP="009D2744">
      <w:pPr>
        <w:pStyle w:val="ListParagraph"/>
        <w:numPr>
          <w:ilvl w:val="0"/>
          <w:numId w:val="36"/>
        </w:numPr>
        <w:tabs>
          <w:tab w:val="clear" w:pos="426"/>
          <w:tab w:val="left" w:pos="0"/>
        </w:tabs>
      </w:pPr>
      <w:r>
        <w:t xml:space="preserve">The purpose of this report is to provide the Housing Panel with an update on the progress of the Garage Asset </w:t>
      </w:r>
      <w:r w:rsidR="003A0580">
        <w:t>Management Strategy Board.</w:t>
      </w:r>
    </w:p>
    <w:p w:rsidR="00CA2F07" w:rsidRDefault="00CA2F07" w:rsidP="00CA2F07">
      <w:pPr>
        <w:pStyle w:val="ListParagraph"/>
        <w:numPr>
          <w:ilvl w:val="0"/>
          <w:numId w:val="36"/>
        </w:numPr>
        <w:tabs>
          <w:tab w:val="clear" w:pos="426"/>
          <w:tab w:val="left" w:pos="0"/>
        </w:tabs>
      </w:pPr>
      <w:r w:rsidRPr="00CA2F07">
        <w:t>The Council’s garage stock is held within the General Fund Budget and passed into the management of the Tenancy Mana</w:t>
      </w:r>
      <w:r>
        <w:t>gement team in December 2015. T</w:t>
      </w:r>
      <w:r w:rsidRPr="00CA2F07">
        <w:t xml:space="preserve">here are 1989 garages of which 650 are situated within the Blackbird Leys and Northfield Brook wards. </w:t>
      </w:r>
      <w:r>
        <w:t>Appendix 1 shows the breakdown of the garages by ward.</w:t>
      </w:r>
    </w:p>
    <w:p w:rsidR="00E87F7A" w:rsidRPr="001356F1" w:rsidRDefault="002820E0" w:rsidP="009D2744">
      <w:pPr>
        <w:pStyle w:val="ListParagraph"/>
        <w:numPr>
          <w:ilvl w:val="0"/>
          <w:numId w:val="36"/>
        </w:numPr>
        <w:tabs>
          <w:tab w:val="clear" w:pos="426"/>
          <w:tab w:val="left" w:pos="0"/>
        </w:tabs>
      </w:pPr>
      <w:r>
        <w:t>The condition of the garages varies significantly and historically many of the void garages were boarded up awaiting major repair</w:t>
      </w:r>
      <w:r w:rsidR="007C6FCE">
        <w:t xml:space="preserve">. </w:t>
      </w:r>
      <w:r w:rsidR="006B0399">
        <w:t>The Garage Asset Management Strateg</w:t>
      </w:r>
      <w:r w:rsidR="002A36E8">
        <w:t>ic</w:t>
      </w:r>
      <w:r w:rsidR="006B0399">
        <w:t xml:space="preserve"> Board was set up in May 2016 to prod</w:t>
      </w:r>
      <w:r w:rsidR="002A36E8">
        <w:t>uce and implement a</w:t>
      </w:r>
      <w:r w:rsidR="006B0399">
        <w:t xml:space="preserve"> long term plan for the Oxford City Council garage sites. </w:t>
      </w:r>
    </w:p>
    <w:p w:rsidR="00633578" w:rsidRDefault="007A09D6" w:rsidP="00C46CF2">
      <w:pPr>
        <w:pStyle w:val="Heading1"/>
      </w:pPr>
      <w:r>
        <w:t>Options Appraisal</w:t>
      </w:r>
    </w:p>
    <w:p w:rsidR="002820E0" w:rsidRDefault="002820E0">
      <w:pPr>
        <w:pStyle w:val="ListParagraph"/>
        <w:numPr>
          <w:ilvl w:val="0"/>
          <w:numId w:val="36"/>
        </w:numPr>
        <w:tabs>
          <w:tab w:val="left" w:pos="0"/>
        </w:tabs>
        <w:pPrChange w:id="0" w:author="anphillips" w:date="2017-04-06T10:52:00Z">
          <w:pPr/>
        </w:pPrChange>
      </w:pPr>
      <w:r>
        <w:t>The board has gathered and considered information from various sources and specifically considered</w:t>
      </w:r>
      <w:r w:rsidR="00505F57">
        <w:t xml:space="preserve"> in each area</w:t>
      </w:r>
      <w:r w:rsidR="005234EC">
        <w:t>:</w:t>
      </w:r>
    </w:p>
    <w:p w:rsidR="002820E0" w:rsidRDefault="00505F57" w:rsidP="002820E0">
      <w:pPr>
        <w:pStyle w:val="ListParagraph"/>
        <w:numPr>
          <w:ilvl w:val="0"/>
          <w:numId w:val="34"/>
        </w:numPr>
      </w:pPr>
      <w:r>
        <w:t>The percentage of lettings and any waiting list</w:t>
      </w:r>
      <w:r w:rsidR="005234EC">
        <w:t xml:space="preserve"> (demand)</w:t>
      </w:r>
    </w:p>
    <w:p w:rsidR="00505F57" w:rsidRDefault="00505F57" w:rsidP="002820E0">
      <w:pPr>
        <w:pStyle w:val="ListParagraph"/>
        <w:numPr>
          <w:ilvl w:val="0"/>
          <w:numId w:val="34"/>
        </w:numPr>
      </w:pPr>
      <w:r>
        <w:t>Stock condition</w:t>
      </w:r>
    </w:p>
    <w:p w:rsidR="00505F57" w:rsidRDefault="00505F57" w:rsidP="002820E0">
      <w:pPr>
        <w:pStyle w:val="ListParagraph"/>
        <w:numPr>
          <w:ilvl w:val="0"/>
          <w:numId w:val="34"/>
        </w:numPr>
      </w:pPr>
      <w:r>
        <w:t xml:space="preserve">Cost of </w:t>
      </w:r>
      <w:r w:rsidR="00736B02">
        <w:t>repair to bring up to a letting</w:t>
      </w:r>
      <w:r>
        <w:t xml:space="preserve"> standard</w:t>
      </w:r>
    </w:p>
    <w:p w:rsidR="00505F57" w:rsidRDefault="00505F57" w:rsidP="002820E0">
      <w:pPr>
        <w:pStyle w:val="ListParagraph"/>
        <w:numPr>
          <w:ilvl w:val="0"/>
          <w:numId w:val="34"/>
        </w:numPr>
      </w:pPr>
      <w:r>
        <w:t>Cost of on</w:t>
      </w:r>
      <w:r w:rsidR="00736B02">
        <w:t>-</w:t>
      </w:r>
      <w:r>
        <w:t>going planned maintenance</w:t>
      </w:r>
    </w:p>
    <w:p w:rsidR="00505F57" w:rsidRDefault="00736B02" w:rsidP="002820E0">
      <w:pPr>
        <w:pStyle w:val="ListParagraph"/>
        <w:numPr>
          <w:ilvl w:val="0"/>
          <w:numId w:val="34"/>
        </w:numPr>
      </w:pPr>
      <w:r>
        <w:t>Identification of</w:t>
      </w:r>
      <w:r w:rsidR="00505F57">
        <w:t xml:space="preserve"> garages that cannot be let due to condition or popularity</w:t>
      </w:r>
    </w:p>
    <w:p w:rsidR="00505F57" w:rsidRDefault="00505F57" w:rsidP="002820E0">
      <w:pPr>
        <w:pStyle w:val="ListParagraph"/>
        <w:numPr>
          <w:ilvl w:val="0"/>
          <w:numId w:val="34"/>
        </w:numPr>
      </w:pPr>
      <w:r>
        <w:t>The distribution of garages across the city</w:t>
      </w:r>
    </w:p>
    <w:p w:rsidR="00505F57" w:rsidRDefault="001F7900" w:rsidP="002820E0">
      <w:pPr>
        <w:pStyle w:val="ListParagraph"/>
        <w:numPr>
          <w:ilvl w:val="0"/>
          <w:numId w:val="34"/>
        </w:numPr>
      </w:pPr>
      <w:r>
        <w:t>Identification of</w:t>
      </w:r>
      <w:r w:rsidR="00505F57">
        <w:t xml:space="preserve"> alternative uses for the land</w:t>
      </w:r>
      <w:r w:rsidR="00736B02">
        <w:t xml:space="preserve"> where letting is not an option</w:t>
      </w:r>
    </w:p>
    <w:p w:rsidR="007C6FCE" w:rsidRPr="002820E0" w:rsidRDefault="007C6FCE" w:rsidP="007C6FCE">
      <w:pPr>
        <w:pStyle w:val="ListParagraph"/>
        <w:numPr>
          <w:ilvl w:val="0"/>
          <w:numId w:val="0"/>
        </w:numPr>
        <w:ind w:left="720"/>
      </w:pPr>
    </w:p>
    <w:p w:rsidR="007A09D6" w:rsidRPr="00C46CF2" w:rsidRDefault="007A09D6" w:rsidP="00C46CF2">
      <w:pPr>
        <w:ind w:left="426" w:hanging="426"/>
        <w:rPr>
          <w:b/>
        </w:rPr>
      </w:pPr>
      <w:r w:rsidRPr="00C46CF2">
        <w:rPr>
          <w:b/>
        </w:rPr>
        <w:t>Stock condition, responsive repairs, planned maintenance and improvements</w:t>
      </w:r>
    </w:p>
    <w:p w:rsidR="006F4442" w:rsidRDefault="006F4442" w:rsidP="008C3CAA">
      <w:pPr>
        <w:pStyle w:val="ListParagraph"/>
        <w:numPr>
          <w:ilvl w:val="0"/>
          <w:numId w:val="36"/>
        </w:numPr>
      </w:pPr>
      <w:r>
        <w:t xml:space="preserve">A survey has been carried out of all the garage sites in the city and minor repairs </w:t>
      </w:r>
      <w:r w:rsidR="007C6FCE">
        <w:t xml:space="preserve">carried out </w:t>
      </w:r>
      <w:r>
        <w:t xml:space="preserve">to bring the garage back into </w:t>
      </w:r>
      <w:r w:rsidRPr="00C419BA">
        <w:t>use</w:t>
      </w:r>
      <w:r w:rsidR="00961DA6" w:rsidRPr="00C419BA">
        <w:t xml:space="preserve"> where there is evidence that there is a demand for the garages</w:t>
      </w:r>
      <w:r w:rsidRPr="00C419BA">
        <w:t>. Some major repairs have been carried out</w:t>
      </w:r>
      <w:r>
        <w:t xml:space="preserve"> including four new roofs to garage blocks in Northway, a new roof, doors and frames to a block in Normandy Crescent and repairs to an asbestos roof in the Grates. Six other block roofs have been prioritised in the maintenance plan for 2017/18. </w:t>
      </w:r>
      <w:r w:rsidR="00701603">
        <w:t>This has resulted in</w:t>
      </w:r>
      <w:r w:rsidR="005573DA">
        <w:t xml:space="preserve"> 177</w:t>
      </w:r>
      <w:r w:rsidR="00701603">
        <w:t xml:space="preserve"> garages </w:t>
      </w:r>
      <w:r w:rsidR="00381FED">
        <w:t>being brought back into use</w:t>
      </w:r>
      <w:r w:rsidR="00701603">
        <w:t>.</w:t>
      </w:r>
    </w:p>
    <w:p w:rsidR="00C46CF2" w:rsidRPr="006F4442" w:rsidRDefault="00C46CF2" w:rsidP="007A09D6"/>
    <w:p w:rsidR="00CB0081" w:rsidRPr="00C46CF2" w:rsidRDefault="00CB0081" w:rsidP="00C46CF2">
      <w:pPr>
        <w:ind w:left="426" w:hanging="426"/>
        <w:rPr>
          <w:b/>
        </w:rPr>
      </w:pPr>
      <w:r w:rsidRPr="00C46CF2">
        <w:rPr>
          <w:b/>
        </w:rPr>
        <w:t>Lettings and m</w:t>
      </w:r>
      <w:r w:rsidR="007A09D6" w:rsidRPr="00C46CF2">
        <w:rPr>
          <w:b/>
        </w:rPr>
        <w:t>arketing strategy</w:t>
      </w:r>
    </w:p>
    <w:p w:rsidR="00F829BD" w:rsidRDefault="00CB0081" w:rsidP="00CB0081">
      <w:pPr>
        <w:pStyle w:val="ListParagraph"/>
        <w:numPr>
          <w:ilvl w:val="0"/>
          <w:numId w:val="36"/>
        </w:numPr>
      </w:pPr>
      <w:r>
        <w:t>As re</w:t>
      </w:r>
      <w:r w:rsidR="00F07428">
        <w:t xml:space="preserve">paired garages have returned </w:t>
      </w:r>
      <w:r>
        <w:t xml:space="preserve">to the </w:t>
      </w:r>
      <w:r w:rsidR="00F07428">
        <w:t xml:space="preserve">available </w:t>
      </w:r>
      <w:r>
        <w:t xml:space="preserve">stock the Tenancy Management team have contacted those applicants on the waiting list to let the garages. </w:t>
      </w:r>
      <w:r w:rsidR="008C3CAA">
        <w:t>The waiting list has been reviewed to remove those no longer requiring a garage</w:t>
      </w:r>
      <w:r w:rsidR="00C46CF2">
        <w:t xml:space="preserve"> </w:t>
      </w:r>
      <w:r w:rsidR="008C3CAA">
        <w:t xml:space="preserve">and the waiting list currently stands at 288 consisting mainly of those applicants who require the high demand areas. </w:t>
      </w:r>
    </w:p>
    <w:p w:rsidR="00F829BD" w:rsidRDefault="00F829BD" w:rsidP="00CB0081"/>
    <w:p w:rsidR="00CB0081" w:rsidRDefault="008C3CAA" w:rsidP="008C3CAA">
      <w:pPr>
        <w:pStyle w:val="ListParagraph"/>
        <w:numPr>
          <w:ilvl w:val="0"/>
          <w:numId w:val="36"/>
        </w:numPr>
      </w:pPr>
      <w:r>
        <w:t>The marketing strategy was implemented and the voids have reduced from 16% to 8.5% since the last report.</w:t>
      </w:r>
      <w:r w:rsidR="007F2C48">
        <w:t xml:space="preserve"> The Tenancy Management team </w:t>
      </w:r>
      <w:r w:rsidR="007F2C48">
        <w:lastRenderedPageBreak/>
        <w:t>continues to work through the waiting list to ensure all possible lettings are made and garages returned are repaired and re-let as soon as possible.</w:t>
      </w:r>
    </w:p>
    <w:p w:rsidR="007E6199" w:rsidRDefault="007E6199" w:rsidP="00C46CF2">
      <w:pPr>
        <w:ind w:left="426" w:hanging="426"/>
        <w:rPr>
          <w:b/>
        </w:rPr>
      </w:pPr>
    </w:p>
    <w:p w:rsidR="007A09D6" w:rsidRPr="00C46CF2" w:rsidRDefault="007A09D6" w:rsidP="00C46CF2">
      <w:pPr>
        <w:ind w:left="426" w:hanging="426"/>
        <w:rPr>
          <w:b/>
        </w:rPr>
      </w:pPr>
      <w:r w:rsidRPr="00C46CF2">
        <w:rPr>
          <w:b/>
        </w:rPr>
        <w:t>Alternative site uses</w:t>
      </w:r>
    </w:p>
    <w:p w:rsidR="00C46CF2" w:rsidRDefault="007F2C48" w:rsidP="00EA517B">
      <w:pPr>
        <w:pStyle w:val="ListParagraph"/>
        <w:numPr>
          <w:ilvl w:val="0"/>
          <w:numId w:val="36"/>
        </w:numPr>
      </w:pPr>
      <w:r>
        <w:t xml:space="preserve">There are a number of sites that are being considered for alternative use. These sites are primarily </w:t>
      </w:r>
      <w:r w:rsidR="00924A6C">
        <w:t xml:space="preserve">located behind housing and have inherent security issues as they are not overlooked. Appendix 2 lists the sites that the Board are focusing on for redevelopment and the proposed use of the land. A number of the sites have indications of the costs involved. </w:t>
      </w:r>
    </w:p>
    <w:p w:rsidR="00EA517B" w:rsidRPr="007E6199" w:rsidRDefault="00EA517B" w:rsidP="00EA517B">
      <w:pPr>
        <w:pStyle w:val="ListParagraph"/>
        <w:numPr>
          <w:ilvl w:val="0"/>
          <w:numId w:val="36"/>
        </w:numPr>
      </w:pPr>
      <w:r>
        <w:t>A further site located at Champions Way, Littlemore was previously outside the scope of the project as it was miss-coded as demolished. The site has been surveyed as a potential housing development but is considered unsuitable. Other options for this site will now be considered.</w:t>
      </w:r>
    </w:p>
    <w:p w:rsidR="007A09D6" w:rsidRDefault="007A09D6" w:rsidP="007A09D6">
      <w:pPr>
        <w:rPr>
          <w:b/>
        </w:rPr>
      </w:pPr>
      <w:r>
        <w:rPr>
          <w:b/>
        </w:rPr>
        <w:t>Finance</w:t>
      </w:r>
    </w:p>
    <w:p w:rsidR="007E6199" w:rsidRDefault="00381FED" w:rsidP="008C3CAA">
      <w:pPr>
        <w:pStyle w:val="ListParagraph"/>
        <w:numPr>
          <w:ilvl w:val="0"/>
          <w:numId w:val="36"/>
        </w:numPr>
      </w:pPr>
      <w:r>
        <w:t xml:space="preserve">A budget provision </w:t>
      </w:r>
      <w:r w:rsidR="00B87A5B">
        <w:t xml:space="preserve">has been made for 2017/18 </w:t>
      </w:r>
      <w:r w:rsidR="00B87A5B" w:rsidRPr="007E6199">
        <w:t>of £</w:t>
      </w:r>
      <w:r w:rsidR="00924A6C">
        <w:t>110</w:t>
      </w:r>
      <w:r w:rsidR="00B87A5B">
        <w:t>,000</w:t>
      </w:r>
      <w:r w:rsidR="007E6199" w:rsidRPr="007E6199">
        <w:t xml:space="preserve"> for </w:t>
      </w:r>
      <w:r w:rsidR="00B87A5B">
        <w:t xml:space="preserve">day to day </w:t>
      </w:r>
      <w:r w:rsidR="001B780C">
        <w:t>maintenance and r</w:t>
      </w:r>
      <w:r w:rsidR="00B87A5B">
        <w:t>epairs</w:t>
      </w:r>
      <w:r>
        <w:t xml:space="preserve"> of </w:t>
      </w:r>
      <w:r w:rsidR="00B87A5B">
        <w:t xml:space="preserve">the </w:t>
      </w:r>
      <w:r>
        <w:t>garages</w:t>
      </w:r>
      <w:r w:rsidR="00B87A5B">
        <w:t xml:space="preserve"> and an additional £77,000 </w:t>
      </w:r>
      <w:r w:rsidR="0043054B">
        <w:t>per year for the next three</w:t>
      </w:r>
      <w:r w:rsidR="001B780C" w:rsidRPr="00C419BA">
        <w:t xml:space="preserve"> years </w:t>
      </w:r>
      <w:r w:rsidR="00B87A5B" w:rsidRPr="00C419BA">
        <w:t>has been made availab</w:t>
      </w:r>
      <w:r w:rsidR="001B780C" w:rsidRPr="00C419BA">
        <w:t xml:space="preserve">le from the General </w:t>
      </w:r>
      <w:r w:rsidR="00D0548E" w:rsidRPr="00C419BA">
        <w:t>Fund budget</w:t>
      </w:r>
      <w:r w:rsidR="00B87A5B" w:rsidRPr="00C419BA">
        <w:t xml:space="preserve"> to </w:t>
      </w:r>
      <w:r w:rsidR="001B780C" w:rsidRPr="00C419BA">
        <w:t>carry out</w:t>
      </w:r>
      <w:r w:rsidR="00B87A5B" w:rsidRPr="00C419BA">
        <w:t xml:space="preserve"> improvements to the garage blocks</w:t>
      </w:r>
      <w:r w:rsidRPr="00C419BA">
        <w:t>.</w:t>
      </w:r>
      <w:r w:rsidR="007E6199" w:rsidRPr="00C419BA">
        <w:t xml:space="preserve"> </w:t>
      </w:r>
    </w:p>
    <w:p w:rsidR="007A09D6" w:rsidRDefault="007A09D6" w:rsidP="007A09D6">
      <w:pPr>
        <w:rPr>
          <w:b/>
        </w:rPr>
      </w:pPr>
      <w:r>
        <w:rPr>
          <w:b/>
        </w:rPr>
        <w:t>ICT</w:t>
      </w:r>
    </w:p>
    <w:p w:rsidR="001F7900" w:rsidRPr="001F7900" w:rsidRDefault="001F7900" w:rsidP="008C3CAA">
      <w:pPr>
        <w:pStyle w:val="ListParagraph"/>
        <w:numPr>
          <w:ilvl w:val="0"/>
          <w:numId w:val="36"/>
        </w:numPr>
      </w:pPr>
      <w:r w:rsidRPr="001F7900">
        <w:t xml:space="preserve">Garage lettings have been handled manually for many years. A new void pathway in the housing management system has been created to automate the lettings </w:t>
      </w:r>
      <w:r w:rsidR="008B0298">
        <w:t xml:space="preserve">process </w:t>
      </w:r>
      <w:r w:rsidRPr="001F7900">
        <w:t>and to provide rigorous monitoring of performance.</w:t>
      </w:r>
    </w:p>
    <w:p w:rsidR="007A09D6" w:rsidRPr="007A09D6" w:rsidRDefault="007A09D6" w:rsidP="007A09D6"/>
    <w:p w:rsidR="0040736F" w:rsidRPr="001356F1" w:rsidRDefault="001F7900" w:rsidP="004A6D2F">
      <w:pPr>
        <w:pStyle w:val="Heading1"/>
      </w:pPr>
      <w:r>
        <w:t>F</w:t>
      </w:r>
      <w:r w:rsidR="002329CF" w:rsidRPr="001356F1">
        <w:t>inancial implications</w:t>
      </w:r>
    </w:p>
    <w:p w:rsidR="00D0548E" w:rsidRDefault="00D0548E" w:rsidP="008C3CAA">
      <w:pPr>
        <w:pStyle w:val="ListParagraph"/>
        <w:numPr>
          <w:ilvl w:val="0"/>
          <w:numId w:val="36"/>
        </w:numPr>
      </w:pPr>
      <w:r w:rsidRPr="00C419BA">
        <w:t xml:space="preserve">The work carried out by the board has enabled us to bring valuable garages back into use and identify those sites where alternative use is the best option.  </w:t>
      </w:r>
    </w:p>
    <w:p w:rsidR="00CE7A11" w:rsidRPr="00CE7A11" w:rsidRDefault="00CE7A11" w:rsidP="00CE7A11">
      <w:pPr>
        <w:pStyle w:val="ListParagraph"/>
        <w:numPr>
          <w:ilvl w:val="0"/>
          <w:numId w:val="36"/>
        </w:numPr>
      </w:pPr>
      <w:r w:rsidRPr="00CE7A11">
        <w:t>The Board is in discussion with Finance to establish how the proposed works to the sites can be funded</w:t>
      </w:r>
      <w:r>
        <w:t xml:space="preserve"> as the properties are held within the General Fund budget</w:t>
      </w:r>
      <w:r w:rsidRPr="00CE7A11">
        <w:t>.</w:t>
      </w:r>
      <w:r>
        <w:t xml:space="preserve"> Work carried out to the sites will improve the general environment around the Housing Revenue Account properties and a number of sites may fall within the proposed Blackbird Leys Regeneration area. There is also a strong link between the Great Estates programme and the revitalisation of the garage sites. For these reasons </w:t>
      </w:r>
      <w:r w:rsidR="00EA517B">
        <w:t>investigation is being made into the joint funding of some sites.</w:t>
      </w:r>
    </w:p>
    <w:p w:rsidR="0040736F" w:rsidRPr="001356F1" w:rsidRDefault="00DA614B" w:rsidP="004A6D2F">
      <w:pPr>
        <w:pStyle w:val="Heading1"/>
      </w:pPr>
      <w:r w:rsidRPr="001356F1">
        <w:t>Legal issues</w:t>
      </w:r>
    </w:p>
    <w:p w:rsidR="00E87F7A" w:rsidRPr="001356F1" w:rsidRDefault="001F7900" w:rsidP="008C3CAA">
      <w:pPr>
        <w:pStyle w:val="ListParagraph"/>
        <w:numPr>
          <w:ilvl w:val="0"/>
          <w:numId w:val="36"/>
        </w:numPr>
      </w:pPr>
      <w:r>
        <w:t>None</w:t>
      </w:r>
    </w:p>
    <w:p w:rsidR="00E23ECC" w:rsidRDefault="00E87F7A" w:rsidP="00E23ECC">
      <w:pPr>
        <w:pStyle w:val="Heading1"/>
      </w:pPr>
      <w:r w:rsidRPr="001356F1">
        <w:t>Conclusion</w:t>
      </w:r>
    </w:p>
    <w:p w:rsidR="00E206D6" w:rsidRPr="00CE7A11" w:rsidRDefault="00381FED" w:rsidP="00CE7A11">
      <w:pPr>
        <w:pStyle w:val="Heading1"/>
        <w:numPr>
          <w:ilvl w:val="0"/>
          <w:numId w:val="36"/>
        </w:numPr>
        <w:rPr>
          <w:b w:val="0"/>
        </w:rPr>
      </w:pPr>
      <w:r w:rsidRPr="00CE7A11">
        <w:rPr>
          <w:b w:val="0"/>
        </w:rPr>
        <w:t xml:space="preserve">The vast majority of garages owned by Oxford City Council can be let and will continue to contribute </w:t>
      </w:r>
      <w:r w:rsidR="00991639" w:rsidRPr="00CE7A11">
        <w:rPr>
          <w:b w:val="0"/>
        </w:rPr>
        <w:t>to the General Fund.</w:t>
      </w:r>
    </w:p>
    <w:p w:rsidR="00991639" w:rsidRDefault="00991639" w:rsidP="008C3CAA">
      <w:pPr>
        <w:pStyle w:val="ListParagraph"/>
        <w:numPr>
          <w:ilvl w:val="0"/>
          <w:numId w:val="36"/>
        </w:numPr>
      </w:pPr>
      <w:r>
        <w:lastRenderedPageBreak/>
        <w:t>A number of unpopular garages sites have been identified for development of new housing schemes</w:t>
      </w:r>
      <w:r w:rsidR="009A2C36">
        <w:t xml:space="preserve"> and</w:t>
      </w:r>
      <w:r w:rsidR="00EA517B">
        <w:t xml:space="preserve"> parking bays</w:t>
      </w:r>
      <w:r w:rsidR="009A2C36">
        <w:t xml:space="preserve"> thereby reducing the need to utilise valuable green areas on the estates.</w:t>
      </w:r>
    </w:p>
    <w:p w:rsidR="00991639" w:rsidRDefault="00991639" w:rsidP="008C3CAA">
      <w:pPr>
        <w:pStyle w:val="ListParagraph"/>
        <w:numPr>
          <w:ilvl w:val="0"/>
          <w:numId w:val="36"/>
        </w:numPr>
      </w:pPr>
      <w:r>
        <w:t>Works to garages have been aligned with other works to estates including the provision of off street parking and other schemes falling un</w:t>
      </w:r>
      <w:r w:rsidR="00E23ECC">
        <w:t xml:space="preserve">der the Great Estates programme </w:t>
      </w:r>
      <w:r>
        <w:t>of works.</w:t>
      </w:r>
    </w:p>
    <w:p w:rsidR="00991639" w:rsidRPr="001356F1" w:rsidRDefault="00991639" w:rsidP="008C3CAA">
      <w:pPr>
        <w:pStyle w:val="ListParagraph"/>
        <w:numPr>
          <w:ilvl w:val="0"/>
          <w:numId w:val="36"/>
        </w:numPr>
      </w:pPr>
      <w:r>
        <w:t>Work is continuing to identify alternative options where unpopular garage sites are not suitable for redevelopment or the provision of off street parking.</w:t>
      </w:r>
    </w:p>
    <w:p w:rsidR="00E206D6" w:rsidRPr="001356F1" w:rsidRDefault="00E206D6" w:rsidP="00E206D6">
      <w:pPr>
        <w:pStyle w:val="ListParagraph"/>
        <w:numPr>
          <w:ilvl w:val="0"/>
          <w:numId w:val="0"/>
        </w:numPr>
        <w:ind w:left="426"/>
      </w:pPr>
    </w:p>
    <w:p w:rsidR="002329CF" w:rsidRPr="001356F1" w:rsidRDefault="002329CF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8B0298" w:rsidP="00A46E98">
            <w:r>
              <w:t>Ann Phillips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B0298" w:rsidP="00A46E98">
            <w:r>
              <w:t>Tenancy Management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B0298" w:rsidP="00A46E98">
            <w:r>
              <w:t>Housing &amp; Property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8B0298">
            <w:r w:rsidRPr="001356F1">
              <w:t xml:space="preserve">01865 </w:t>
            </w:r>
            <w:r w:rsidR="008B0298">
              <w:t>252203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8B0298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anphillips@oxford.gov.uk</w:t>
            </w:r>
          </w:p>
        </w:tc>
      </w:tr>
    </w:tbl>
    <w:p w:rsidR="00433B96" w:rsidRPr="001356F1" w:rsidRDefault="00433B96" w:rsidP="004A6D2F"/>
    <w:p w:rsidR="00A4626B" w:rsidRDefault="00A4626B" w:rsidP="0093067A"/>
    <w:p w:rsidR="004456DD" w:rsidRPr="009E51FC" w:rsidRDefault="004456DD" w:rsidP="0093067A">
      <w:bookmarkStart w:id="1" w:name="_GoBack"/>
      <w:bookmarkEnd w:id="1"/>
    </w:p>
    <w:sectPr w:rsidR="004456DD" w:rsidRPr="009E51FC" w:rsidSect="00BC200B">
      <w:footerReference w:type="even" r:id="rId9"/>
      <w:headerReference w:type="first" r:id="rId10"/>
      <w:footerReference w:type="first" r:id="rId11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89" w:rsidRDefault="00502B89" w:rsidP="004A6D2F">
      <w:r>
        <w:separator/>
      </w:r>
    </w:p>
  </w:endnote>
  <w:endnote w:type="continuationSeparator" w:id="0">
    <w:p w:rsidR="00502B89" w:rsidRDefault="00502B89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99" w:rsidRDefault="007E6199" w:rsidP="004A6D2F">
    <w:pPr>
      <w:pStyle w:val="Footer"/>
    </w:pPr>
    <w:r>
      <w:t>Do not use a footer or page numbers.</w:t>
    </w:r>
  </w:p>
  <w:p w:rsidR="007E6199" w:rsidRDefault="007E6199" w:rsidP="004A6D2F">
    <w:pPr>
      <w:pStyle w:val="Footer"/>
    </w:pPr>
  </w:p>
  <w:p w:rsidR="007E6199" w:rsidRDefault="007E6199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99" w:rsidRDefault="007E6199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89" w:rsidRDefault="00502B89" w:rsidP="004A6D2F">
      <w:r>
        <w:separator/>
      </w:r>
    </w:p>
  </w:footnote>
  <w:footnote w:type="continuationSeparator" w:id="0">
    <w:p w:rsidR="00502B89" w:rsidRDefault="00502B89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99" w:rsidRDefault="007E6199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57E71D5"/>
    <w:multiLevelType w:val="hybridMultilevel"/>
    <w:tmpl w:val="89A864C6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>
    <w:nsid w:val="05856231"/>
    <w:multiLevelType w:val="hybridMultilevel"/>
    <w:tmpl w:val="56709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712AC6"/>
    <w:multiLevelType w:val="hybridMultilevel"/>
    <w:tmpl w:val="A78AE63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073C5F"/>
    <w:multiLevelType w:val="hybridMultilevel"/>
    <w:tmpl w:val="FEE2F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263A6A"/>
    <w:multiLevelType w:val="multilevel"/>
    <w:tmpl w:val="43D6D2FA"/>
    <w:numStyleLink w:val="StyleBulletedSymbolsymbolLeft063cmHanging063cm"/>
  </w:abstractNum>
  <w:abstractNum w:abstractNumId="22">
    <w:nsid w:val="22AF4C5C"/>
    <w:multiLevelType w:val="hybridMultilevel"/>
    <w:tmpl w:val="4B345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6D15AE4"/>
    <w:multiLevelType w:val="hybridMultilevel"/>
    <w:tmpl w:val="5C6024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A1F41"/>
    <w:multiLevelType w:val="hybridMultilevel"/>
    <w:tmpl w:val="0B26F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C5070"/>
    <w:multiLevelType w:val="hybridMultilevel"/>
    <w:tmpl w:val="1A082674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BA5FD8"/>
    <w:multiLevelType w:val="multilevel"/>
    <w:tmpl w:val="43D6D2FA"/>
    <w:numStyleLink w:val="StyleBulletedSymbolsymbolLeft063cmHanging063cm"/>
  </w:abstractNum>
  <w:abstractNum w:abstractNumId="35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22831"/>
    <w:multiLevelType w:val="multilevel"/>
    <w:tmpl w:val="43D6D2FA"/>
    <w:numStyleLink w:val="StyleBulletedSymbolsymbolLeft063cmHanging063cm"/>
  </w:abstractNum>
  <w:abstractNum w:abstractNumId="37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8365C6"/>
    <w:multiLevelType w:val="multilevel"/>
    <w:tmpl w:val="E67CE66C"/>
    <w:numStyleLink w:val="StyleNumberedLeft0cmHanging075cm"/>
  </w:abstractNum>
  <w:num w:numId="1">
    <w:abstractNumId w:val="33"/>
  </w:num>
  <w:num w:numId="2">
    <w:abstractNumId w:val="38"/>
  </w:num>
  <w:num w:numId="3">
    <w:abstractNumId w:val="29"/>
  </w:num>
  <w:num w:numId="4">
    <w:abstractNumId w:val="24"/>
  </w:num>
  <w:num w:numId="5">
    <w:abstractNumId w:val="35"/>
  </w:num>
  <w:num w:numId="6">
    <w:abstractNumId w:val="39"/>
  </w:num>
  <w:num w:numId="7">
    <w:abstractNumId w:val="28"/>
  </w:num>
  <w:num w:numId="8">
    <w:abstractNumId w:val="26"/>
  </w:num>
  <w:num w:numId="9">
    <w:abstractNumId w:val="16"/>
  </w:num>
  <w:num w:numId="10">
    <w:abstractNumId w:val="19"/>
  </w:num>
  <w:num w:numId="11">
    <w:abstractNumId w:val="31"/>
  </w:num>
  <w:num w:numId="12">
    <w:abstractNumId w:val="30"/>
  </w:num>
  <w:num w:numId="13">
    <w:abstractNumId w:val="10"/>
  </w:num>
  <w:num w:numId="14">
    <w:abstractNumId w:val="40"/>
  </w:num>
  <w:num w:numId="15">
    <w:abstractNumId w:val="20"/>
  </w:num>
  <w:num w:numId="16">
    <w:abstractNumId w:val="11"/>
  </w:num>
  <w:num w:numId="17">
    <w:abstractNumId w:val="34"/>
  </w:num>
  <w:num w:numId="18">
    <w:abstractNumId w:val="12"/>
  </w:num>
  <w:num w:numId="19">
    <w:abstractNumId w:val="36"/>
  </w:num>
  <w:num w:numId="20">
    <w:abstractNumId w:val="21"/>
  </w:num>
  <w:num w:numId="21">
    <w:abstractNumId w:val="27"/>
  </w:num>
  <w:num w:numId="22">
    <w:abstractNumId w:val="17"/>
  </w:num>
  <w:num w:numId="23">
    <w:abstractNumId w:val="37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2"/>
  </w:num>
  <w:num w:numId="35">
    <w:abstractNumId w:val="14"/>
  </w:num>
  <w:num w:numId="36">
    <w:abstractNumId w:val="25"/>
  </w:num>
  <w:num w:numId="37">
    <w:abstractNumId w:val="40"/>
  </w:num>
  <w:num w:numId="38">
    <w:abstractNumId w:val="40"/>
  </w:num>
  <w:num w:numId="39">
    <w:abstractNumId w:val="18"/>
  </w:num>
  <w:num w:numId="40">
    <w:abstractNumId w:val="32"/>
  </w:num>
  <w:num w:numId="41">
    <w:abstractNumId w:val="15"/>
  </w:num>
  <w:num w:numId="42">
    <w:abstractNumId w:val="13"/>
  </w:num>
  <w:num w:numId="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cumentProtection w:edit="trackedChanges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314D7"/>
    <w:rsid w:val="00045F8B"/>
    <w:rsid w:val="00046D2B"/>
    <w:rsid w:val="00056263"/>
    <w:rsid w:val="00064D8A"/>
    <w:rsid w:val="00064F82"/>
    <w:rsid w:val="00066510"/>
    <w:rsid w:val="00070DE8"/>
    <w:rsid w:val="00077523"/>
    <w:rsid w:val="000C089F"/>
    <w:rsid w:val="000C3928"/>
    <w:rsid w:val="000C5E8E"/>
    <w:rsid w:val="000F4751"/>
    <w:rsid w:val="0010524C"/>
    <w:rsid w:val="00111FB1"/>
    <w:rsid w:val="00113418"/>
    <w:rsid w:val="001356F1"/>
    <w:rsid w:val="00136994"/>
    <w:rsid w:val="0014128E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B780C"/>
    <w:rsid w:val="001C5D5E"/>
    <w:rsid w:val="001D678D"/>
    <w:rsid w:val="001E03F8"/>
    <w:rsid w:val="001E1678"/>
    <w:rsid w:val="001E3376"/>
    <w:rsid w:val="001F7900"/>
    <w:rsid w:val="002069B3"/>
    <w:rsid w:val="00226073"/>
    <w:rsid w:val="002329CF"/>
    <w:rsid w:val="00232F5B"/>
    <w:rsid w:val="00247C29"/>
    <w:rsid w:val="00260467"/>
    <w:rsid w:val="00263EA3"/>
    <w:rsid w:val="002820E0"/>
    <w:rsid w:val="00284F85"/>
    <w:rsid w:val="00290915"/>
    <w:rsid w:val="002A22E2"/>
    <w:rsid w:val="002A36E8"/>
    <w:rsid w:val="002C64F7"/>
    <w:rsid w:val="002F41F2"/>
    <w:rsid w:val="00301BF3"/>
    <w:rsid w:val="0030208D"/>
    <w:rsid w:val="00323418"/>
    <w:rsid w:val="003357BF"/>
    <w:rsid w:val="00364FAD"/>
    <w:rsid w:val="0036738F"/>
    <w:rsid w:val="0036759C"/>
    <w:rsid w:val="00367AE5"/>
    <w:rsid w:val="00367D71"/>
    <w:rsid w:val="0038150A"/>
    <w:rsid w:val="00381FED"/>
    <w:rsid w:val="003A0580"/>
    <w:rsid w:val="003B6E75"/>
    <w:rsid w:val="003B7DA1"/>
    <w:rsid w:val="003D0379"/>
    <w:rsid w:val="003D2574"/>
    <w:rsid w:val="003D4C59"/>
    <w:rsid w:val="003F4267"/>
    <w:rsid w:val="00404032"/>
    <w:rsid w:val="004053E3"/>
    <w:rsid w:val="0040736F"/>
    <w:rsid w:val="00412C1F"/>
    <w:rsid w:val="00421CB2"/>
    <w:rsid w:val="004268B9"/>
    <w:rsid w:val="0043054B"/>
    <w:rsid w:val="00433B96"/>
    <w:rsid w:val="004440F1"/>
    <w:rsid w:val="004456DD"/>
    <w:rsid w:val="00446CDF"/>
    <w:rsid w:val="004521B7"/>
    <w:rsid w:val="00462AB5"/>
    <w:rsid w:val="00465EAF"/>
    <w:rsid w:val="00471319"/>
    <w:rsid w:val="004738C5"/>
    <w:rsid w:val="00491046"/>
    <w:rsid w:val="004A2AC7"/>
    <w:rsid w:val="004A6D2F"/>
    <w:rsid w:val="004C0136"/>
    <w:rsid w:val="004C2887"/>
    <w:rsid w:val="004D2626"/>
    <w:rsid w:val="004D432F"/>
    <w:rsid w:val="004D481B"/>
    <w:rsid w:val="004D6E26"/>
    <w:rsid w:val="004D77D3"/>
    <w:rsid w:val="004E2959"/>
    <w:rsid w:val="004F20EF"/>
    <w:rsid w:val="00502B89"/>
    <w:rsid w:val="0050321C"/>
    <w:rsid w:val="00505C90"/>
    <w:rsid w:val="00505F57"/>
    <w:rsid w:val="005234EC"/>
    <w:rsid w:val="0054712D"/>
    <w:rsid w:val="00547EF6"/>
    <w:rsid w:val="005570B5"/>
    <w:rsid w:val="005573DA"/>
    <w:rsid w:val="00567E18"/>
    <w:rsid w:val="00575F5F"/>
    <w:rsid w:val="00581805"/>
    <w:rsid w:val="00585F76"/>
    <w:rsid w:val="005A34E4"/>
    <w:rsid w:val="005B17F2"/>
    <w:rsid w:val="005B7FB0"/>
    <w:rsid w:val="005C29A4"/>
    <w:rsid w:val="005C35A5"/>
    <w:rsid w:val="005C577C"/>
    <w:rsid w:val="005D0621"/>
    <w:rsid w:val="005D1E27"/>
    <w:rsid w:val="005D2A3E"/>
    <w:rsid w:val="005E022E"/>
    <w:rsid w:val="005E5215"/>
    <w:rsid w:val="005F7F7E"/>
    <w:rsid w:val="0060124B"/>
    <w:rsid w:val="00614693"/>
    <w:rsid w:val="00623C2F"/>
    <w:rsid w:val="00633578"/>
    <w:rsid w:val="00637068"/>
    <w:rsid w:val="00650811"/>
    <w:rsid w:val="00661D3E"/>
    <w:rsid w:val="00673380"/>
    <w:rsid w:val="00692627"/>
    <w:rsid w:val="006969E7"/>
    <w:rsid w:val="006A3643"/>
    <w:rsid w:val="006B0399"/>
    <w:rsid w:val="006B3551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4442"/>
    <w:rsid w:val="006F519B"/>
    <w:rsid w:val="00701603"/>
    <w:rsid w:val="0070742C"/>
    <w:rsid w:val="00713675"/>
    <w:rsid w:val="00715823"/>
    <w:rsid w:val="00736B02"/>
    <w:rsid w:val="00737B93"/>
    <w:rsid w:val="00745BF0"/>
    <w:rsid w:val="007615FE"/>
    <w:rsid w:val="0076655C"/>
    <w:rsid w:val="007742DC"/>
    <w:rsid w:val="00791437"/>
    <w:rsid w:val="007A09D6"/>
    <w:rsid w:val="007A6122"/>
    <w:rsid w:val="007B0C2C"/>
    <w:rsid w:val="007B278E"/>
    <w:rsid w:val="007C5C23"/>
    <w:rsid w:val="007C6FCE"/>
    <w:rsid w:val="007E1002"/>
    <w:rsid w:val="007E2A26"/>
    <w:rsid w:val="007E6199"/>
    <w:rsid w:val="007F2348"/>
    <w:rsid w:val="007F2C48"/>
    <w:rsid w:val="00803F07"/>
    <w:rsid w:val="0080749A"/>
    <w:rsid w:val="00821FB8"/>
    <w:rsid w:val="00822ACD"/>
    <w:rsid w:val="00855C66"/>
    <w:rsid w:val="00871EE4"/>
    <w:rsid w:val="00894E80"/>
    <w:rsid w:val="008A3F70"/>
    <w:rsid w:val="008A43AA"/>
    <w:rsid w:val="008B0298"/>
    <w:rsid w:val="008B293F"/>
    <w:rsid w:val="008B7371"/>
    <w:rsid w:val="008C3CAA"/>
    <w:rsid w:val="008D3DDB"/>
    <w:rsid w:val="008F573F"/>
    <w:rsid w:val="009034EC"/>
    <w:rsid w:val="00924A6C"/>
    <w:rsid w:val="0093067A"/>
    <w:rsid w:val="00941C60"/>
    <w:rsid w:val="00941FD1"/>
    <w:rsid w:val="00961DA6"/>
    <w:rsid w:val="00966D42"/>
    <w:rsid w:val="00971689"/>
    <w:rsid w:val="00973E90"/>
    <w:rsid w:val="00975B07"/>
    <w:rsid w:val="00980B4A"/>
    <w:rsid w:val="00991639"/>
    <w:rsid w:val="009A2C36"/>
    <w:rsid w:val="009C4D6D"/>
    <w:rsid w:val="009D2744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30C3B"/>
    <w:rsid w:val="00A4626B"/>
    <w:rsid w:val="00A46E98"/>
    <w:rsid w:val="00A6352B"/>
    <w:rsid w:val="00A701B5"/>
    <w:rsid w:val="00A714BB"/>
    <w:rsid w:val="00A72FD5"/>
    <w:rsid w:val="00A77147"/>
    <w:rsid w:val="00A92D8F"/>
    <w:rsid w:val="00AB2988"/>
    <w:rsid w:val="00AB7999"/>
    <w:rsid w:val="00AD3292"/>
    <w:rsid w:val="00AE7AF0"/>
    <w:rsid w:val="00B33198"/>
    <w:rsid w:val="00B500CA"/>
    <w:rsid w:val="00B86314"/>
    <w:rsid w:val="00B87A5B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19BA"/>
    <w:rsid w:val="00C44BAE"/>
    <w:rsid w:val="00C46CF2"/>
    <w:rsid w:val="00C63C31"/>
    <w:rsid w:val="00C757A0"/>
    <w:rsid w:val="00C760DE"/>
    <w:rsid w:val="00C80DF3"/>
    <w:rsid w:val="00C82630"/>
    <w:rsid w:val="00C85B4E"/>
    <w:rsid w:val="00C907F7"/>
    <w:rsid w:val="00CA2103"/>
    <w:rsid w:val="00CA2F07"/>
    <w:rsid w:val="00CB0081"/>
    <w:rsid w:val="00CB6B99"/>
    <w:rsid w:val="00CD1E69"/>
    <w:rsid w:val="00CE4C87"/>
    <w:rsid w:val="00CE544A"/>
    <w:rsid w:val="00CE7A11"/>
    <w:rsid w:val="00D0548E"/>
    <w:rsid w:val="00D11E1C"/>
    <w:rsid w:val="00D160B0"/>
    <w:rsid w:val="00D17F94"/>
    <w:rsid w:val="00D223FC"/>
    <w:rsid w:val="00D26D1E"/>
    <w:rsid w:val="00D27E0D"/>
    <w:rsid w:val="00D474CF"/>
    <w:rsid w:val="00D5547E"/>
    <w:rsid w:val="00D57F03"/>
    <w:rsid w:val="00D869A1"/>
    <w:rsid w:val="00DA413F"/>
    <w:rsid w:val="00DA4584"/>
    <w:rsid w:val="00DA614B"/>
    <w:rsid w:val="00DC0178"/>
    <w:rsid w:val="00DC3060"/>
    <w:rsid w:val="00DE0FB2"/>
    <w:rsid w:val="00DF093E"/>
    <w:rsid w:val="00E01F42"/>
    <w:rsid w:val="00E206D6"/>
    <w:rsid w:val="00E23ECC"/>
    <w:rsid w:val="00E3366E"/>
    <w:rsid w:val="00E45927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A517B"/>
    <w:rsid w:val="00ED52CA"/>
    <w:rsid w:val="00ED5860"/>
    <w:rsid w:val="00EE35C9"/>
    <w:rsid w:val="00F05ECA"/>
    <w:rsid w:val="00F07428"/>
    <w:rsid w:val="00F3566E"/>
    <w:rsid w:val="00F375FB"/>
    <w:rsid w:val="00F41AC1"/>
    <w:rsid w:val="00F4367A"/>
    <w:rsid w:val="00F445B1"/>
    <w:rsid w:val="00F44C2D"/>
    <w:rsid w:val="00F45CD4"/>
    <w:rsid w:val="00F66DCA"/>
    <w:rsid w:val="00F74F53"/>
    <w:rsid w:val="00F7606D"/>
    <w:rsid w:val="00F77127"/>
    <w:rsid w:val="00F81670"/>
    <w:rsid w:val="00F82024"/>
    <w:rsid w:val="00F829BD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CoMother\City%20Executive%20Board\CEB%20General%20Admin\CEB%20report%20-%20blank%20template%20to%20be%20used%20from%20January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DD01-9A93-4ACE-A6EA-84F021ED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CEB report - blank template to be used from January 2016</Template>
  <TotalTime>339</TotalTime>
  <Pages>4</Pages>
  <Words>974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srobinson</cp:lastModifiedBy>
  <cp:revision>5</cp:revision>
  <cp:lastPrinted>2015-07-03T13:50:00Z</cp:lastPrinted>
  <dcterms:created xsi:type="dcterms:W3CDTF">2018-06-21T16:25:00Z</dcterms:created>
  <dcterms:modified xsi:type="dcterms:W3CDTF">2018-06-28T14:49:00Z</dcterms:modified>
</cp:coreProperties>
</file>